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tLeast" w:line="300" w:before="0" w:after="0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tLeast" w:line="30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Załącznik nr 8 do Formularza ofertowego – Zadanie 2</w:t>
      </w:r>
    </w:p>
    <w:p>
      <w:pPr>
        <w:pStyle w:val="Normal"/>
        <w:spacing w:lineRule="atLeast" w:line="300" w:before="0" w:after="0"/>
        <w:jc w:val="right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spacing w:lineRule="atLeast" w:line="300" w:before="0" w:after="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  <w:highlight w:val="yellow"/>
        </w:rPr>
        <w:t>Formularz parametrów oferowanych maszyn i urządzeń</w:t>
      </w:r>
    </w:p>
    <w:p>
      <w:pPr>
        <w:pStyle w:val="Normal"/>
        <w:spacing w:lineRule="atLeast" w:line="300" w:before="0" w:after="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„</w:t>
      </w:r>
      <w:r>
        <w:rPr>
          <w:rFonts w:ascii="Arial" w:hAnsi="Arial"/>
          <w:b/>
          <w:bCs/>
        </w:rPr>
        <w:t>Unowocześnienie bazy dydaktycznej i demonstracyjnej na potrzeby edukacji w zakresie rolnictwa 4.0. dla Zespołu Szkół Centrum Kształcenia Rolniczego w Gorzowie Wielkopolskim”</w:t>
      </w:r>
    </w:p>
    <w:p>
      <w:pPr>
        <w:pStyle w:val="Normal"/>
        <w:spacing w:lineRule="atLeast" w:line="300" w:before="0" w:after="0"/>
        <w:jc w:val="center"/>
        <w:rPr>
          <w:b/>
          <w:bCs/>
          <w:color w:val="C9211E"/>
        </w:rPr>
      </w:pPr>
      <w:r>
        <w:rPr>
          <w:rFonts w:ascii="Arial" w:hAnsi="Arial"/>
          <w:b/>
          <w:bCs/>
          <w:color w:val="C9211E"/>
        </w:rPr>
        <w:t>(złożyć razem z ofertą)</w:t>
      </w:r>
    </w:p>
    <w:p>
      <w:pPr>
        <w:pStyle w:val="Normal"/>
        <w:spacing w:lineRule="atLeast" w:line="300" w:before="0" w:after="0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tabs>
          <w:tab w:val="clear" w:pos="708"/>
          <w:tab w:val="left" w:pos="756" w:leader="none"/>
        </w:tabs>
        <w:spacing w:lineRule="auto" w:line="288"/>
        <w:rPr>
          <w:rFonts w:ascii="Arial" w:hAnsi="Arial" w:eastAsia="Arial"/>
          <w:b/>
        </w:rPr>
      </w:pPr>
      <w:bookmarkStart w:id="0" w:name="_Hlk118463462"/>
      <w:r>
        <w:rPr>
          <w:rFonts w:eastAsia="Arial" w:ascii="Arial" w:hAnsi="Arial"/>
          <w:b/>
        </w:rPr>
        <w:t xml:space="preserve">Zadanie 2 – </w:t>
      </w:r>
      <w:bookmarkEnd w:id="0"/>
      <w:r>
        <w:rPr>
          <w:rFonts w:eastAsia="Arial" w:ascii="Arial" w:hAnsi="Arial"/>
          <w:b/>
        </w:rPr>
        <w:t>Urządzenia</w:t>
      </w:r>
    </w:p>
    <w:p>
      <w:pPr>
        <w:pStyle w:val="Normal"/>
        <w:spacing w:lineRule="auto" w:line="360" w:before="0" w:after="0"/>
        <w:jc w:val="left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</w:rPr>
        <w:t xml:space="preserve">1)  urządzenie pomiaru kwasowości oraz zasobności gleby: </w:t>
      </w:r>
      <w:r>
        <w:rPr>
          <w:rFonts w:eastAsia="Times New Roman" w:cs="Arial" w:ascii="Arial" w:hAnsi="Arial"/>
          <w:lang w:eastAsia="pl-PL"/>
        </w:rPr>
        <w:t xml:space="preserve">wraz z </w:t>
      </w:r>
      <w:r>
        <w:rPr>
          <w:rFonts w:eastAsia="Times New Roman" w:cs="Arial" w:ascii="Arial" w:hAnsi="Arial"/>
          <w:b/>
          <w:bCs/>
          <w:lang w:eastAsia="pl-PL"/>
        </w:rPr>
        <w:t>dedykowanym oprogramowaniem komputerowym</w:t>
      </w:r>
      <w:r>
        <w:rPr>
          <w:rFonts w:eastAsia="Times New Roman" w:cs="Arial" w:ascii="Arial" w:hAnsi="Arial"/>
          <w:lang w:eastAsia="pl-PL"/>
        </w:rPr>
        <w:t xml:space="preserve"> umożliwiającym dalszą analizę, archiwizację oraz katalogowanie danych pomiarowych, przeznaczonego do zastosowań w nowoczesnym rolnictwie precyzyjnym </w:t>
      </w:r>
      <w:r>
        <w:rPr>
          <w:rFonts w:eastAsia="Times New Roman" w:cs="Arial" w:ascii="Arial" w:hAnsi="Arial"/>
          <w:lang w:eastAsia="pl-PL"/>
        </w:rPr>
        <w:t>(Rolnictwo 4 .0)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uppressAutoHyphens w:val="false"/>
        <w:spacing w:lineRule="auto" w:line="360" w:before="0" w:after="0"/>
        <w:rPr>
          <w:rFonts w:ascii="Arial" w:hAnsi="Arial" w:eastAsia="Times New Roman" w:cs="Arial"/>
          <w:bCs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</w:t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23"/>
        <w:gridCol w:w="21"/>
        <w:gridCol w:w="7372"/>
        <w:gridCol w:w="2551"/>
        <w:gridCol w:w="3119"/>
      </w:tblGrid>
      <w:tr>
        <w:trPr>
          <w:trHeight w:val="528" w:hRule="atLeast"/>
        </w:trPr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Potwierdzenie spełnienia wymagań wskazanych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5682" w:hRule="atLeast"/>
        </w:trPr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     </w:t>
            </w: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3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funkcjonalne urządzenia pomiarowego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1) Urządzenie musi umożliwiać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ciągły, całodobowy odczyt parametrów gleby</w:t>
            </w:r>
            <w:r>
              <w:rPr>
                <w:rFonts w:eastAsia="Times New Roman" w:cs="Arial" w:ascii="Arial" w:hAnsi="Arial"/>
                <w:lang w:eastAsia="pl-PL"/>
              </w:rPr>
              <w:t xml:space="preserve"> oraz ich bezprzewodową transmisję danych.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2) Zakres i parametry pomiarowe - </w:t>
            </w:r>
            <w:r>
              <w:rPr>
                <w:rFonts w:eastAsia="Times New Roman" w:cs="Arial" w:ascii="Arial" w:hAnsi="Arial"/>
                <w:lang w:eastAsia="pl-PL"/>
              </w:rPr>
              <w:t>Urządzenie musi mierzyć co najmniej: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odczyn gleby (pH)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44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- zakres pomiarowy: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0,0 – 14,0 pH,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44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- rozdzielczość: min. 0,1 pH,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temperaturę gleby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44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- zakres pomiarowy: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min. 0 – 50°C,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przewodność elektryczną (EC),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całkowitą ilość substancji rozpuszczonych w wodzie (TDS) 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przewodności elektryczną roztworu (CF),</w:t>
            </w:r>
          </w:p>
          <w:p>
            <w:pPr>
              <w:pStyle w:val="Normal"/>
              <w:numPr>
                <w:ilvl w:val="0"/>
                <w:numId w:val="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stężenie w ppm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440"/>
              <w:rPr/>
            </w:pPr>
            <w:r>
              <w:rPr>
                <w:rStyle w:val="Strong"/>
                <w:rFonts w:eastAsia="Times New Roman" w:cs="Arial" w:ascii="Arial" w:hAnsi="Arial"/>
                <w:b w:val="false"/>
                <w:bCs w:val="false"/>
                <w:color w:val="000000"/>
                <w:shd w:fill="FFFFFF" w:val="clear"/>
                <w:lang w:eastAsia="pl-PL"/>
              </w:rPr>
              <w:t xml:space="preserve">- zakres pomiarowy: </w:t>
            </w:r>
            <w:r>
              <w:rPr>
                <w:rStyle w:val="Strong"/>
                <w:rFonts w:eastAsia="Times New Roman" w:cs="Arial" w:ascii="Arial" w:hAnsi="Arial"/>
                <w:color w:val="000000"/>
                <w:shd w:fill="FFFFFF" w:val="clear"/>
                <w:lang w:eastAsia="pl-PL"/>
              </w:rPr>
              <w:t>min. do 700 ppm,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 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Komunikacja i transmisja danych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urządzenie musi posiadać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łączność bezprzewodową Wi-Fi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przesyłania danych w czasie rzeczywistym lub cyklicznie,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współpracy z komputerem klasy PC lub laptopem,</w:t>
            </w:r>
          </w:p>
          <w:p>
            <w:pPr>
              <w:pStyle w:val="Normal"/>
              <w:numPr>
                <w:ilvl w:val="0"/>
                <w:numId w:val="3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brak konieczności stałego połączenia przewodowego.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Oprogramowanie do analizy danych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Oprogramowanie powinno: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działać w środowisku komputerowym (Windows lub równoważnym),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umożliwiać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zbieranie, zapisywanie i katalogowanie danych pomiarowych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umożliwiać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analizę danych historycznych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obsługiwać eksport danych do popularnych formatów (np. CSV, XLS lub równoważnych),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umożliwiać tworzenie zestawień i raportów,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zapewniać identyfikację danych według lokalizacji, daty i czasu pomiaru,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być dostarczone z licencją bezterminową lub czasową (min. 12 miesięcy).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3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techniczne i eksploatacyjne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urządzenie przystosowane do pracy w warunkach polowych,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odporność na wilgoć i zmienne warunki atmosferyczne,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pracy ciągłej (24/7),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zasilanie bateryjne lub akumulatorowe,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niski pobór energii.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37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Rolnictwo 4.0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Urządzenie i oprogramowanie muszą wpisywać się w koncepcję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Rolnictwa 4.0</w:t>
            </w:r>
            <w:r>
              <w:rPr>
                <w:rFonts w:eastAsia="Times New Roman" w:cs="Arial" w:ascii="Arial" w:hAnsi="Arial"/>
                <w:lang w:eastAsia="pl-PL"/>
              </w:rPr>
              <w:t>, w szczególności poprzez: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cyfrowe gromadzenie danych środowiskowych,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automatyzację pomiarów,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dalszego przetwarzania danych i podejmowania decyzji agrotechnicznych,</w:t>
            </w:r>
          </w:p>
          <w:p>
            <w:pPr>
              <w:pStyle w:val="Normal"/>
              <w:numPr>
                <w:ilvl w:val="0"/>
                <w:numId w:val="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potencjalną możliwość integracji z innymi systemami rolnictwa precyzyjnego,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          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99" w:hRule="atLeast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  <w:t>6</w:t>
            </w:r>
          </w:p>
        </w:tc>
        <w:tc>
          <w:tcPr>
            <w:tcW w:w="73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Serwis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serwis realizowany na terenie UE,</w:t>
            </w:r>
          </w:p>
          <w:p>
            <w:pPr>
              <w:pStyle w:val="Normal"/>
              <w:numPr>
                <w:ilvl w:val="0"/>
                <w:numId w:val="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dostęp do aktualizacji oprogramowania w okresie gwarancji.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Arial" w:ascii="Arial" w:hAnsi="Arial"/>
          <w:bCs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  <w:color w:themeColor="text1" w:val="000000"/>
        </w:rPr>
        <w:t>2)  stacja meteorologiczna zintegrowana z systemem do zarządzania gospodarstwem</w:t>
      </w:r>
      <w:r>
        <w:rPr>
          <w:rFonts w:eastAsia="Arial" w:ascii="Arial" w:hAnsi="Arial"/>
          <w:color w:themeColor="text1" w:val="000000"/>
        </w:rPr>
        <w:t xml:space="preserve">, </w:t>
      </w:r>
      <w:r>
        <w:rPr>
          <w:rFonts w:eastAsia="Times New Roman" w:cs="Arial" w:ascii="Arial" w:hAnsi="Arial"/>
          <w:lang w:eastAsia="pl-PL"/>
        </w:rPr>
        <w:t xml:space="preserve">przeznaczona do zastosowań w </w:t>
      </w:r>
      <w:r>
        <w:rPr>
          <w:rFonts w:eastAsia="Times New Roman" w:cs="Arial" w:ascii="Arial" w:hAnsi="Arial"/>
          <w:b/>
          <w:bCs/>
          <w:lang w:eastAsia="pl-PL"/>
        </w:rPr>
        <w:t>Rolnictwie 4.0</w:t>
      </w:r>
      <w:r>
        <w:rPr>
          <w:rFonts w:eastAsia="Times New Roman" w:cs="Arial" w:ascii="Arial" w:hAnsi="Arial"/>
          <w:lang w:eastAsia="pl-PL"/>
        </w:rPr>
        <w:t>, Stacja powinna umożliwiać ciągły monitoring warunków agrometeorologicznych, wspierać podejmowanie decyzji produkcyjnych oraz automatyzować procesy zarządzania gospodarstwem.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44"/>
        <w:gridCol w:w="7231"/>
        <w:gridCol w:w="2692"/>
        <w:gridCol w:w="3119"/>
      </w:tblGrid>
      <w:tr>
        <w:trPr>
          <w:trHeight w:val="528" w:hRule="atLeast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Przeznaczenie i zastosowanie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jc w:val="both"/>
              <w:rPr/>
            </w:pPr>
            <w:r>
              <w:rPr>
                <w:rFonts w:eastAsia="Times New Roman" w:cs="Arial" w:ascii="Arial" w:hAnsi="Arial"/>
                <w:lang w:eastAsia="pl-PL"/>
              </w:rPr>
              <w:t>monitorowanie parametrów pogodowych istotnych dla produkcji rolniczej,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jc w:val="both"/>
              <w:rPr/>
            </w:pPr>
            <w:r>
              <w:rPr>
                <w:rFonts w:eastAsia="Times New Roman" w:cs="Arial" w:ascii="Arial" w:hAnsi="Arial"/>
                <w:lang w:eastAsia="pl-PL"/>
              </w:rPr>
              <w:t>wspomaganie decyzji dotyczących ochrony roślin, nawadniania i nawożenia,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jc w:val="both"/>
              <w:rPr/>
            </w:pPr>
            <w:r>
              <w:rPr>
                <w:rFonts w:eastAsia="Times New Roman" w:cs="Arial" w:ascii="Arial" w:hAnsi="Arial"/>
                <w:lang w:eastAsia="pl-PL"/>
              </w:rPr>
              <w:t>analiza ryzyka chorób roślin i stresów środowiskowych,</w:t>
            </w:r>
          </w:p>
          <w:p>
            <w:pPr>
              <w:pStyle w:val="Normal"/>
              <w:numPr>
                <w:ilvl w:val="0"/>
                <w:numId w:val="6"/>
              </w:numPr>
              <w:suppressAutoHyphens w:val="false"/>
              <w:spacing w:lineRule="auto" w:line="360" w:before="0" w:after="0"/>
              <w:jc w:val="both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integracjia danych meteorologicznych z cyfrowym systemem zarządzania gospodarstwem,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funkcjonalne: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stacja musi być urządzeniem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kompleksowym i zintegrowanym</w:t>
            </w:r>
            <w:r>
              <w:rPr>
                <w:rFonts w:eastAsia="Times New Roman" w:cs="Arial" w:ascii="Arial" w:hAnsi="Arial"/>
                <w:lang w:eastAsia="pl-PL"/>
              </w:rPr>
              <w:t>, przystosowanym do pracy w warunkach polowych,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system musi umożliwiać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automatyczny pomiar, rejestrację, archiwizację oraz transmisję danych</w:t>
            </w:r>
            <w:r>
              <w:rPr>
                <w:rFonts w:eastAsia="Times New Roman" w:cs="Arial" w:ascii="Arial" w:hAnsi="Arial"/>
                <w:lang w:eastAsia="pl-PL"/>
              </w:rPr>
              <w:t xml:space="preserve"> do systemu zarządzania gospodarstwem,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dane muszą być dostępne w czasie zbliżonym do rzeczywistego poprzez platformę internetową lub aplikację mobilną.</w:t>
            </w:r>
          </w:p>
          <w:p>
            <w:pPr>
              <w:pStyle w:val="Normal"/>
              <w:numPr>
                <w:ilvl w:val="0"/>
                <w:numId w:val="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stacja powinna wspierać koncepcję Rolnictwa 4.0, w tym analizę danych, raportowanie oraz możliwość rozbudowy o kolejne moduły,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Minimalne wymagania techniczne – czujniki i parametry pomiarowe 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3.1.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Temperatura powietrza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zakres pomiarowy: zgodny z zastosowaniami rolniczymi (minimum –40°C do +60°C),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typ czujnika: min.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PT1000, klasa dokładności 1/3 DIN, klasa B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8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wysoka stabilność i odporność na warunki atmosferyczne,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3.2.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Wilgotność względna powietrza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zakres pomiarowy: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0–100% RH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dokładność pomiaru: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±0,5% RH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9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kompensacja temperaturowa,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3.3.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Opady atmosferyczne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rodzaj pomiaru: opad deszczu (czujnik deszczomierza),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rozdzielczość/dokładność: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0,2 mm lub 2%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10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możliwość sumowania opadów dobowych, miesięcznych i rocznych.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3.4.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Zwilżenie liścia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pomiar obecności i czasu trwania zwilżenia liścia,</w:t>
            </w:r>
          </w:p>
          <w:p>
            <w:pPr>
              <w:pStyle w:val="Normal"/>
              <w:numPr>
                <w:ilvl w:val="0"/>
                <w:numId w:val="11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dane wykorzystywane do modeli chorobowych i prognoz fitosanitarnych,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3.5.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Pokrycie rosą</w:t>
            </w:r>
          </w:p>
          <w:p>
            <w:pPr>
              <w:pStyle w:val="Normal"/>
              <w:numPr>
                <w:ilvl w:val="0"/>
                <w:numId w:val="12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rejestracja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występowania rosy (minuty/godziny na dobę)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0"/>
                <w:numId w:val="12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możliwość prezentacji danych w ujęciu dobowym,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Moduł komunikacyjny i integracja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stacja musi być wyposażona w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moduł komunikacyjny umożliwiający podłączenie kompatybilnych urządzeń do sieci             komunikacyjnej ciągnika i maszyn</w:t>
            </w:r>
            <w:r>
              <w:rPr>
                <w:rFonts w:eastAsia="Times New Roman" w:cs="Arial" w:ascii="Arial" w:hAnsi="Arial"/>
                <w:lang w:eastAsia="pl-PL"/>
              </w:rPr>
              <w:t>, który zapewni:</w:t>
            </w:r>
          </w:p>
          <w:p>
            <w:pPr>
              <w:pStyle w:val="Normal"/>
              <w:numPr>
                <w:ilvl w:val="1"/>
                <w:numId w:val="13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bezprzewodową transmisję danych,</w:t>
            </w:r>
          </w:p>
          <w:p>
            <w:pPr>
              <w:pStyle w:val="Normal"/>
              <w:numPr>
                <w:ilvl w:val="1"/>
                <w:numId w:val="13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integrację z systemem zarządzania gospodarstwem (API, eksport danych),</w:t>
            </w:r>
          </w:p>
          <w:p>
            <w:pPr>
              <w:pStyle w:val="Normal"/>
              <w:numPr>
                <w:ilvl w:val="1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stabilną pracę w warunkach terenowych,</w:t>
            </w:r>
          </w:p>
          <w:p>
            <w:pPr>
              <w:pStyle w:val="Normal"/>
              <w:numPr>
                <w:ilvl w:val="0"/>
                <w:numId w:val="13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system musi umożliwiać integrację z innymi urządzeniami i systemami wykorzystywanymi w gospodarstwie.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Zasilanie i konstrukcja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zasilanie przystosowane do pracy całorocznej (np. panel fotowoltaiczny z akumulatorem lub równoważne),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obudowa odporna na warunki atmosferyczne (deszcz, mróz, promieniowanie UV),</w:t>
            </w:r>
          </w:p>
          <w:p>
            <w:pPr>
              <w:pStyle w:val="Normal"/>
              <w:numPr>
                <w:ilvl w:val="0"/>
                <w:numId w:val="1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konstrukcja umożliwiająca łatwy montaż i serwis,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Oprogramowanie i dostęp do danych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dostęp do danych poprzez przeglądarkę internetową i/lub aplikację mobilną,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możliwość:</w:t>
            </w:r>
          </w:p>
          <w:p>
            <w:pPr>
              <w:pStyle w:val="Normal"/>
              <w:numPr>
                <w:ilvl w:val="1"/>
                <w:numId w:val="15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wizualizacji danych historycznych,</w:t>
            </w:r>
          </w:p>
          <w:p>
            <w:pPr>
              <w:pStyle w:val="Normal"/>
              <w:numPr>
                <w:ilvl w:val="1"/>
                <w:numId w:val="15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generowania raportów,</w:t>
            </w:r>
          </w:p>
          <w:p>
            <w:pPr>
              <w:pStyle w:val="Normal"/>
              <w:numPr>
                <w:ilvl w:val="1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eksportu danych do formatów standardowych,</w:t>
            </w:r>
          </w:p>
          <w:p>
            <w:pPr>
              <w:pStyle w:val="Normal"/>
              <w:numPr>
                <w:ilvl w:val="0"/>
                <w:numId w:val="15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wsparcie dla analiz decyzyjnych i modeli agro</w:t>
              <w:noBreakHyphen/>
              <w:t>meteorologicznych,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2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formalne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Dostawca zapewni dokumentację techniczną oraz instrukcję obsługi w języku polskim.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System musi być gotowy do użytkowania w gospodarstwie rolnym po instalacji i konfiguracji.</w:t>
            </w:r>
          </w:p>
          <w:p>
            <w:pPr>
              <w:pStyle w:val="Normal"/>
              <w:numPr>
                <w:ilvl w:val="0"/>
                <w:numId w:val="16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ascii="Arial" w:hAnsi="Arial"/>
              </w:rPr>
              <w:t>Przedmiot zamówienia musi być zgodny z obowiązującymi przepisami prawa UE oraz krajowego, w szczególności w zakresie bezpieczeństwa użytkowania i kompatybilności elektromagnetycznej,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Arial" w:ascii="Arial" w:hAnsi="Arial"/>
          <w:bCs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  <w:color w:themeColor="text1" w:val="000000"/>
        </w:rPr>
        <w:t>3</w:t>
      </w:r>
      <w:r>
        <w:rPr>
          <w:rFonts w:eastAsia="Arial" w:cs="Arial" w:ascii="Arial" w:hAnsi="Arial"/>
          <w:b/>
          <w:bCs/>
          <w:color w:themeColor="text1" w:val="000000"/>
        </w:rPr>
        <w:t xml:space="preserve">) </w:t>
      </w:r>
      <w:r>
        <w:rPr>
          <w:rFonts w:eastAsia="Arial" w:cs="Arial" w:ascii="Arial" w:hAnsi="Arial"/>
          <w:b/>
          <w:bCs/>
        </w:rPr>
        <w:t>s</w:t>
      </w:r>
      <w:r>
        <w:rPr>
          <w:rFonts w:eastAsia="Arial" w:cs="Arial" w:ascii="Arial" w:hAnsi="Arial"/>
          <w:b/>
          <w:bCs/>
          <w:color w:themeColor="text1" w:val="000000"/>
        </w:rPr>
        <w:t xml:space="preserve">tacja bazowa komunikacyjna przeznaczona do pracy w systemach Rolnictwa 4.0, </w:t>
      </w:r>
      <w:r>
        <w:rPr>
          <w:rFonts w:eastAsia="Times New Roman" w:cs="Arial" w:ascii="Arial" w:hAnsi="Arial"/>
          <w:b/>
          <w:bCs/>
          <w:color w:themeColor="text1" w:val="000000"/>
          <w:lang w:eastAsia="pl-PL"/>
        </w:rPr>
        <w:t>umożliwiająca zbieranie, przetwarzanie oraz transmisję danych z rozproszonych modułów pomiarowych i sterujących, instalowanych na  obszarach rolniczych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Arial" w:cs="Arial" w:ascii="Arial" w:hAnsi="Arial"/>
          <w:color w:themeColor="text1" w:val="000000"/>
        </w:rPr>
        <w:t>–</w:t>
      </w:r>
      <w:r>
        <w:rPr>
          <w:rFonts w:eastAsia="Arial" w:cs="Arial" w:ascii="Arial" w:hAnsi="Arial"/>
          <w:b/>
          <w:bCs/>
          <w:color w:themeColor="text1" w:val="000000"/>
        </w:rPr>
        <w:t xml:space="preserve"> </w:t>
      </w:r>
      <w:r>
        <w:rPr>
          <w:rFonts w:eastAsia="Times New Roman" w:cs="Arial" w:ascii="Arial" w:hAnsi="Arial"/>
          <w:lang w:eastAsia="pl-PL"/>
        </w:rPr>
        <w:t xml:space="preserve">przeznaczona do pracy w systemach </w:t>
      </w:r>
      <w:r>
        <w:rPr>
          <w:rFonts w:eastAsia="Times New Roman" w:cs="Arial" w:ascii="Arial" w:hAnsi="Arial"/>
          <w:b/>
          <w:bCs/>
          <w:lang w:eastAsia="pl-PL"/>
        </w:rPr>
        <w:t>Rolnictwa 4.0</w:t>
      </w:r>
      <w:r>
        <w:rPr>
          <w:rFonts w:eastAsia="Times New Roman" w:cs="Arial" w:ascii="Arial" w:hAnsi="Arial"/>
          <w:lang w:eastAsia="pl-PL"/>
        </w:rPr>
        <w:t xml:space="preserve">, 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p>
      <w:pPr>
        <w:pStyle w:val="Normal"/>
        <w:suppressAutoHyphens w:val="false"/>
        <w:spacing w:lineRule="auto" w:line="360" w:before="0" w:after="0"/>
        <w:ind w:left="1440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40"/>
        <w:gridCol w:w="7235"/>
        <w:gridCol w:w="2692"/>
        <w:gridCol w:w="3119"/>
      </w:tblGrid>
      <w:tr>
        <w:trPr>
          <w:trHeight w:val="528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 i wyposażenie wymagane przez Zamawiającego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Wymagania funkcjonalne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1) Stacja bazowa powinna umożliwiać:</w:t>
            </w:r>
          </w:p>
          <w:p>
            <w:pPr>
              <w:pStyle w:val="Normal"/>
              <w:numPr>
                <w:ilvl w:val="1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jednoczesną obsługą i zarządzaniem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minimum 25 modułami końcowymi</w:t>
            </w:r>
            <w:r>
              <w:rPr>
                <w:rFonts w:eastAsia="Times New Roman" w:cs="Arial" w:ascii="Arial" w:hAnsi="Arial"/>
                <w:lang w:eastAsia="pl-PL"/>
              </w:rPr>
              <w:t>,</w:t>
            </w:r>
          </w:p>
          <w:p>
            <w:pPr>
              <w:pStyle w:val="Normal"/>
              <w:numPr>
                <w:ilvl w:val="1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dwukierunkową transmisję danych,</w:t>
            </w:r>
          </w:p>
          <w:p>
            <w:pPr>
              <w:pStyle w:val="Normal"/>
              <w:numPr>
                <w:ilvl w:val="1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ciągłą pracę w trybie 24/7,</w:t>
            </w:r>
          </w:p>
          <w:p>
            <w:pPr>
              <w:pStyle w:val="Normal"/>
              <w:numPr>
                <w:ilvl w:val="1"/>
                <w:numId w:val="1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  <w:color w:themeColor="text1" w:val="000000"/>
              </w:rPr>
              <w:t>zdalne zarządzanie oraz monitorowanie stanu urządzenia,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 xml:space="preserve">2) </w:t>
            </w:r>
            <w:r>
              <w:rPr>
                <w:rFonts w:eastAsia="Times New Roman" w:cs="Arial" w:ascii="Arial" w:hAnsi="Arial"/>
                <w:b/>
                <w:bCs/>
                <w:color w:themeColor="text1" w:val="000000"/>
                <w:lang w:eastAsia="pl-PL"/>
              </w:rPr>
              <w:t xml:space="preserve">Urządzenie musi być przystosowane do integracji z systemami informatycznymi wykorzystywanymi w Rolnictwie 4.0 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Minimalne wymagania techniczne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2.1.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Komunikacja radiowa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Technologia: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LoRa</w:t>
            </w:r>
            <w:r>
              <w:rPr>
                <w:rFonts w:eastAsia="Times New Roman" w:cs="Arial" w:ascii="Arial" w:hAnsi="Arial"/>
                <w:lang w:eastAsia="pl-PL"/>
              </w:rPr>
              <w:t xml:space="preserve"> lub równoważna </w:t>
            </w:r>
            <w:r>
              <w:rPr>
                <w:rFonts w:cs="Arial" w:ascii="Arial" w:hAnsi="Arial"/>
              </w:rPr>
              <w:t xml:space="preserve">(system komunikacji bezprzewodowej o dużym zasięgu i niskim poborze mocy, który może przesyłać niewielkie ilości danych na duże odległości), 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Pasmo częstotliwości: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868 – 868,6 MHz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Moc nadawcza: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25 mW</w:t>
            </w:r>
          </w:p>
          <w:p>
            <w:pPr>
              <w:pStyle w:val="Normal"/>
              <w:numPr>
                <w:ilvl w:val="0"/>
                <w:numId w:val="1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Minimalny zasięg: 800 m w terenie otwartym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2.2.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Łączność</w:t>
            </w:r>
          </w:p>
          <w:p>
            <w:pPr>
              <w:pStyle w:val="Normal"/>
              <w:numPr>
                <w:ilvl w:val="0"/>
                <w:numId w:val="19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Transmisja danych: 4G (LTE) lub równoważna</w:t>
            </w:r>
          </w:p>
          <w:p>
            <w:pPr>
              <w:pStyle w:val="Normal"/>
              <w:numPr>
                <w:ilvl w:val="0"/>
                <w:numId w:val="19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Komunikacja lokalna: Bluetooth Smart 4.0 lub równoważna (energooszczędna technologia bezprzewodowa krótkiego zasięgu)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2.3.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Obsługa urządzeń końcowych</w:t>
            </w:r>
          </w:p>
          <w:p>
            <w:pPr>
              <w:pStyle w:val="Normal"/>
              <w:numPr>
                <w:ilvl w:val="0"/>
                <w:numId w:val="38"/>
              </w:numPr>
              <w:spacing w:lineRule="auto" w:line="360" w:before="0" w:after="0"/>
              <w:outlineLvl w:val="2"/>
              <w:rPr/>
            </w:pPr>
            <w:r>
              <w:rPr>
                <w:rFonts w:eastAsia="Times New Roman" w:cs="Arial" w:ascii="Arial" w:hAnsi="Arial"/>
                <w:lang w:eastAsia="pl-PL"/>
              </w:rPr>
              <w:t xml:space="preserve">Minimalna liczba obsługiwanych modułów: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25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Warunki środowiskowe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Stopień ochrony obudowy: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minimum IP54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Wilgotność pracy: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do 90% wilgotności względnej</w:t>
            </w:r>
            <w:r>
              <w:rPr>
                <w:rFonts w:eastAsia="Times New Roman" w:cs="Arial" w:ascii="Arial" w:hAnsi="Arial"/>
                <w:lang w:eastAsia="pl-PL"/>
              </w:rPr>
              <w:t xml:space="preserve"> (bez kondensacji)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Zakres temperatury pracy: </w:t>
            </w: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od 20°C do 60°C</w:t>
            </w:r>
          </w:p>
          <w:p>
            <w:pPr>
              <w:pStyle w:val="Normal"/>
              <w:numPr>
                <w:ilvl w:val="0"/>
                <w:numId w:val="2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Przystosowanie do pracy w środowisku rolniczym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montażowe i eksploatacyjne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montażu stacjonarnego (ściana, maszt)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Przystosowanie do pracy ciągłej</w:t>
            </w:r>
          </w:p>
          <w:p>
            <w:pPr>
              <w:pStyle w:val="Normal"/>
              <w:numPr>
                <w:ilvl w:val="0"/>
                <w:numId w:val="2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Obudowa odporna na czynniki zewnętrzne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23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formalne i dokumentacyjne</w:t>
            </w:r>
          </w:p>
          <w:p>
            <w:pPr>
              <w:pStyle w:val="Normal"/>
              <w:numPr>
                <w:ilvl w:val="0"/>
                <w:numId w:val="39"/>
              </w:numPr>
              <w:spacing w:lineRule="auto" w:line="360" w:before="0" w:after="0"/>
              <w:rPr/>
            </w:pPr>
            <w:r>
              <w:rPr>
                <w:rFonts w:eastAsia="Times New Roman" w:cs="Arial" w:ascii="Arial" w:hAnsi="Arial"/>
                <w:lang w:eastAsia="pl-PL"/>
              </w:rPr>
              <w:t>Wykonawca zobowiązany jest do dostarczenia:</w:t>
            </w:r>
          </w:p>
          <w:p>
            <w:pPr>
              <w:pStyle w:val="Normal"/>
              <w:numPr>
                <w:ilvl w:val="0"/>
                <w:numId w:val="2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deklaracji zgodności CE,</w:t>
            </w:r>
          </w:p>
          <w:p>
            <w:pPr>
              <w:pStyle w:val="Normal"/>
              <w:numPr>
                <w:ilvl w:val="0"/>
                <w:numId w:val="2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instrukcji obsługi w języku polskim,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454" w:right="57"/>
              <w:rPr/>
            </w:pPr>
            <w:r>
              <w:rPr>
                <w:rFonts w:eastAsia="Times New Roman" w:cs="Arial" w:ascii="Arial" w:hAnsi="Arial"/>
                <w:lang w:eastAsia="pl-PL"/>
              </w:rPr>
              <w:t>2) W okresie gwarancji Wykonawca zapewni dostęp do wsparcia technicznego.</w:t>
            </w:r>
          </w:p>
        </w:tc>
        <w:tc>
          <w:tcPr>
            <w:tcW w:w="2692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Normal"/>
        <w:tabs>
          <w:tab w:val="clear" w:pos="708"/>
          <w:tab w:val="left" w:pos="756" w:leader="none"/>
        </w:tabs>
        <w:spacing w:lineRule="auto" w:line="288"/>
        <w:jc w:val="both"/>
        <w:rPr>
          <w:rFonts w:ascii="Arial" w:hAnsi="Arial" w:eastAsia="Arial"/>
          <w:bCs/>
        </w:rPr>
      </w:pPr>
      <w:r>
        <w:rPr>
          <w:rFonts w:eastAsia="Arial" w:ascii="Arial" w:hAnsi="Arial"/>
          <w:bCs/>
        </w:rPr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  <w:color w:val="000000"/>
        </w:rPr>
        <w:t xml:space="preserve">4) system wspierania decyzji, zarządzania gospodarstwem rolnym </w:t>
      </w:r>
      <w:r>
        <w:rPr>
          <w:rFonts w:eastAsia="Arial" w:cs="Arial" w:ascii="Arial" w:hAnsi="Arial"/>
          <w:color w:val="000000"/>
        </w:rPr>
        <w:t xml:space="preserve">wraz z </w:t>
      </w:r>
      <w:r>
        <w:rPr>
          <w:rFonts w:eastAsia="Times New Roman" w:cs="Arial" w:ascii="Arial" w:hAnsi="Arial"/>
          <w:lang w:eastAsia="pl-PL"/>
        </w:rPr>
        <w:t xml:space="preserve">wdrożeniem oprogramowania </w:t>
      </w:r>
      <w:r>
        <w:rPr>
          <w:rFonts w:cs="Arial" w:ascii="Arial" w:hAnsi="Arial"/>
          <w:color w:val="0A0A0A"/>
          <w:shd w:fill="FFFFFF" w:val="clear"/>
        </w:rPr>
        <w:t xml:space="preserve">pomagające rolnikom zarządzać gospodarstwem poprzez analizę danych </w:t>
      </w:r>
      <w:r>
        <w:rPr>
          <w:rFonts w:eastAsia="Times New Roman" w:cs="Arial" w:ascii="Arial" w:hAnsi="Arial"/>
          <w:lang w:eastAsia="pl-PL"/>
        </w:rPr>
        <w:t xml:space="preserve">a także udostępnieniem licencji na okres minimum 3 lat zgodnego z koncepcją </w:t>
      </w:r>
      <w:r>
        <w:rPr>
          <w:rFonts w:eastAsia="Times New Roman" w:cs="Arial" w:ascii="Arial" w:hAnsi="Arial"/>
          <w:b/>
          <w:bCs/>
          <w:lang w:eastAsia="pl-PL"/>
        </w:rPr>
        <w:t>Rolnictwa 4.0</w:t>
      </w:r>
      <w:r>
        <w:rPr>
          <w:rFonts w:eastAsia="Times New Roman" w:cs="Arial" w:ascii="Arial" w:hAnsi="Arial"/>
          <w:lang w:eastAsia="pl-PL"/>
        </w:rPr>
        <w:t>,                 oraz z zapewnieniem wsparcia technicznego, aktualizacją oraz szkoleniem użytkowników;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844"/>
        <w:gridCol w:w="7231"/>
        <w:gridCol w:w="2692"/>
        <w:gridCol w:w="3119"/>
      </w:tblGrid>
      <w:tr>
        <w:trPr>
          <w:trHeight w:val="528" w:hRule="atLeast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eksploatacyjne, wdrożeniowe, konfiguracyjne wymagane przez Zamawiającego</w:t>
            </w:r>
          </w:p>
        </w:tc>
        <w:tc>
          <w:tcPr>
            <w:tcW w:w="26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1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Zakres zamówienia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Dostarczenie oprogramowania w modelu </w:t>
            </w:r>
            <w:r>
              <w:rPr>
                <w:rFonts w:cs="Arial" w:ascii="Arial" w:hAnsi="Arial"/>
              </w:rPr>
              <w:t>działającym np. w „chmurze” utrzymywanego przez dostawcę, który zapewnia ciągłość działania usługi i dba o spełnienie wymogów dotyczących bezpieczeństwa lub oprogramowania instalowanego na własnych serwerach, zapewniając pełną kontrolę i suwerenność danych i wymagając samodzielnego utrzymania infrastruktury,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Udzielenie licencji na korzystanie z systemu na okres minimum 36 miesięcy,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Konfigurację systemu zgodnie z potrzebami użytkownika, 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Integrację z urządzeniami i danymi zewnętrznymi 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Przeszkolenie użytkowników,</w:t>
            </w:r>
          </w:p>
          <w:p>
            <w:pPr>
              <w:pStyle w:val="Normal"/>
              <w:numPr>
                <w:ilvl w:val="0"/>
                <w:numId w:val="2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Zapewnienie wsparcia technicznego i aktualizacji w okresie obowiązywania licencji,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Wymagania funkcjonalne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 xml:space="preserve">2.1. 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Zarządzanie gospodarstwem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musi umożliwiać: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ewidencję pól, działek ewidencyjnych i upraw,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planowanie i rejestrację zabiegów agrotechnicznych,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zarządzanie zasobami (maszyny, sprzęt, środki produkcji, pracownicy),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ewidencję kosztów i przychodów,</w:t>
            </w:r>
          </w:p>
          <w:p>
            <w:pPr>
              <w:pStyle w:val="Normal"/>
              <w:numPr>
                <w:ilvl w:val="0"/>
                <w:numId w:val="2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analizę opłacalności produkcji,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2.2.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 xml:space="preserve">Wsparcie decyzji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powinien: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generować rekomendacje agrotechniczne na podstawie danych historycznych i bieżących,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wspierać decyzje dotyczące nawożenia, ochrony roślin i terminów zabiegów,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umożliwiać analizę scenariuszową (np. zmiany cen, plonów, warunków pogodowych),</w:t>
            </w:r>
          </w:p>
          <w:p>
            <w:pPr>
              <w:pStyle w:val="Normal"/>
              <w:numPr>
                <w:ilvl w:val="0"/>
                <w:numId w:val="2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wykorzystywać algorytmy analityczne lub elementy sztucznej inteligencji,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2.3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Integracja danych (Rolnictwo 4.0)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musi obsługiwać: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integrację z danymi meteorologicznymi (online),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import danych z maszyn rolniczych (np. ISOXML, CSV),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możliwość współpracy z czujnikami IoT (gleba, wilgotność, plon),</w:t>
            </w:r>
          </w:p>
          <w:p>
            <w:pPr>
              <w:pStyle w:val="Normal"/>
              <w:numPr>
                <w:ilvl w:val="0"/>
                <w:numId w:val="2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import/eksport danych do popularnych formatów.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2.4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Raportowanie i analizy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System powinien oferować: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generowanie raportów produkcyjnych, ekonomicznych i środowiskowych,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wizualizację danych (mapy, wykresy, dashboardy),</w:t>
            </w:r>
          </w:p>
          <w:p>
            <w:pPr>
              <w:pStyle w:val="Normal"/>
              <w:numPr>
                <w:ilvl w:val="0"/>
                <w:numId w:val="27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możliwość eksportu raportów do PDF, XLSX, </w:t>
            </w:r>
            <w:r>
              <w:rPr>
                <w:rFonts w:eastAsia="Times New Roman" w:cs="Arial" w:ascii="Arial" w:hAnsi="Arial"/>
                <w:lang w:eastAsia="pl-PL"/>
              </w:rPr>
              <w:t xml:space="preserve"> lub CSV,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techniczne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dostęp przez przeglądarkę internetową (np.: Chrome, Edge, Firefox),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responsywny interfejs (PC, tablet, smartfon),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zgodność z RODO,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bezpieczeństwo danych (szyfrowanie, kopie zapasowe),</w:t>
            </w:r>
          </w:p>
          <w:p>
            <w:pPr>
              <w:pStyle w:val="Normal"/>
              <w:numPr>
                <w:ilvl w:val="0"/>
                <w:numId w:val="28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interfejs w języku polskim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Licencja</w:t>
            </w:r>
          </w:p>
          <w:p>
            <w:pPr>
              <w:pStyle w:val="Normal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licencja niewyłączna,</w:t>
            </w:r>
          </w:p>
          <w:p>
            <w:pPr>
              <w:pStyle w:val="Normal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okres obowiązywania: minimum 36 miesięcy,</w:t>
            </w:r>
          </w:p>
          <w:p>
            <w:pPr>
              <w:pStyle w:val="Normal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color w:val="000000"/>
                <w:lang w:eastAsia="pl-PL"/>
              </w:rPr>
              <w:t>brak limitu liczby użytkowników lub minimum 3 użytkowników,</w:t>
            </w:r>
          </w:p>
          <w:p>
            <w:pPr>
              <w:pStyle w:val="Normal"/>
              <w:numPr>
                <w:ilvl w:val="0"/>
                <w:numId w:val="29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licencja powinna obejmować wszystkie aktualizacje i poprawki systemu,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350" w:hRule="atLeast"/>
        </w:trPr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Szkolenia i wsparcie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Wykonawca zapewni: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szkolenie wstępne (min. 1 dzień lub 6 godzin),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instrukcje użytkownika w formie elektronicznej,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helpdesk (e-mail/telefon) w dni robocze,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czas reakcji na zgłoszenia krytyczne: maks. 48 godzin,</w:t>
            </w:r>
          </w:p>
          <w:p>
            <w:pPr>
              <w:pStyle w:val="Normal"/>
              <w:numPr>
                <w:ilvl w:val="0"/>
                <w:numId w:val="30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ciągłość świadczenia usług przez okres licencji,</w:t>
            </w:r>
          </w:p>
        </w:tc>
        <w:tc>
          <w:tcPr>
            <w:tcW w:w="2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jc w:val="center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1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rFonts w:ascii="Arial" w:hAnsi="Arial" w:cs="Arial"/>
          <w:b/>
          <w:bCs/>
          <w:shd w:fill="FFFF00" w:val="clear"/>
          <w:lang w:bidi="pl-PL"/>
        </w:rPr>
      </w:pPr>
      <w:r>
        <w:rPr>
          <w:rFonts w:cs="Arial" w:ascii="Arial" w:hAnsi="Arial"/>
          <w:b/>
          <w:bCs/>
          <w:shd w:fill="FFFF00" w:val="clear"/>
          <w:lang w:bidi="pl-PL"/>
        </w:rPr>
      </w:r>
    </w:p>
    <w:p>
      <w:pPr>
        <w:pStyle w:val="Normal"/>
        <w:spacing w:lineRule="auto" w:line="360" w:before="0" w:after="0"/>
        <w:rPr>
          <w:rFonts w:ascii="Arial" w:hAnsi="Arial" w:eastAsia="Arial"/>
          <w:b/>
        </w:rPr>
      </w:pPr>
      <w:r>
        <w:rPr>
          <w:rFonts w:eastAsia="Arial" w:ascii="Arial" w:hAnsi="Arial"/>
          <w:b/>
          <w:bCs/>
        </w:rPr>
        <w:t>5) tablet</w:t>
      </w:r>
      <w:r>
        <w:rPr>
          <w:rFonts w:eastAsia="Arial" w:ascii="Arial" w:hAnsi="Arial"/>
          <w:bCs/>
        </w:rPr>
        <w:t xml:space="preserve"> z pamięcią RAM 8-12 GB - </w:t>
      </w:r>
      <w:r>
        <w:rPr>
          <w:rFonts w:eastAsia="Arial" w:ascii="Arial" w:hAnsi="Arial"/>
          <w:b/>
        </w:rPr>
        <w:t xml:space="preserve">(2 szt.) 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388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12"/>
        <w:gridCol w:w="7163"/>
        <w:gridCol w:w="2551"/>
        <w:gridCol w:w="3260"/>
      </w:tblGrid>
      <w:tr>
        <w:trPr>
          <w:trHeight w:val="588" w:hRule="atLeast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eksploatacyjne, wdrożeniowe, konfiguracyjne wymagane przez Zamawiającego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1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Procesor i pamięć: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340" w:left="340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Procesor wielordzeniowy (minimum 8 rdzeni) o wysokiej wydajności,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340" w:left="340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Pamięć RAM: 8–12 GB,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340" w:left="340"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Pamięć wewnętrzna: minimum 128 GB z możliwością rozszerzenia,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2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1"/>
              </w:numPr>
              <w:suppressAutoHyphens w:val="false"/>
              <w:spacing w:lineRule="auto" w:line="360" w:before="0" w:after="0"/>
              <w:ind w:hanging="340" w:left="57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Wyświetlacz: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227" w:left="283" w:right="113"/>
              <w:rPr/>
            </w:pPr>
            <w:r>
              <w:rPr>
                <w:rFonts w:eastAsia="Times New Roman" w:cs="Arial" w:ascii="Arial" w:hAnsi="Arial"/>
                <w:lang w:eastAsia="pl-PL"/>
              </w:rPr>
              <w:t>Ekran dotykowy o przekątnej 10–12 cali,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227" w:left="283" w:right="11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Rozdzielczość minimum 1920 × 1200 pikseli,</w:t>
            </w:r>
          </w:p>
          <w:p>
            <w:pPr>
              <w:pStyle w:val="Normal"/>
              <w:numPr>
                <w:ilvl w:val="1"/>
                <w:numId w:val="31"/>
              </w:numPr>
              <w:suppressAutoHyphens w:val="false"/>
              <w:spacing w:lineRule="auto" w:line="360" w:before="0" w:after="0"/>
              <w:ind w:hanging="227" w:left="28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Wysoka jasność (≥400 cd/m²) i powłoka antyrefleksyjna,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57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57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57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31"/>
              </w:numPr>
              <w:suppressAutoHyphens w:val="false"/>
              <w:spacing w:lineRule="auto" w:line="360" w:before="0" w:after="0"/>
              <w:ind w:hanging="340" w:left="57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3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Łączność i interfejsy: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283" w:right="11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1) Wi-Fi (802.11 a/b/g/n/ac), Bluetooth ≥5.0, opcjonalnie LTE/5G,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283" w:right="113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2) Złącza: USB-C/Micro-USB, gniazdo kart pamięci,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283" w:right="113"/>
              <w:rPr>
                <w:rFonts w:ascii="Arial" w:hAnsi="Arial"/>
              </w:rPr>
            </w:pPr>
            <w:r>
              <w:rPr>
                <w:rFonts w:ascii="Arial" w:hAnsi="Arial"/>
              </w:rPr>
              <w:t>3) Wsparcie dla GNSS (GPS, GLONASS, Galileo),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13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4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Bateria i wytrzymałość: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1) Czas pracy baterii: minimum 8 godzin,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rPr>
                <w:rFonts w:ascii="Arial" w:hAnsi="Arial"/>
              </w:rPr>
            </w:pPr>
            <w:r>
              <w:rPr>
                <w:rFonts w:ascii="Arial" w:hAnsi="Arial"/>
              </w:rPr>
              <w:t>2) oporność na kurz, wilgoć, wibracje; temperatura pracy od -10°C do +50°C.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170" w:right="57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5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ind w:left="340" w:right="113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System operacyjny i kompatybilność:</w:t>
            </w:r>
          </w:p>
          <w:p>
            <w:pPr>
              <w:pStyle w:val="Normal"/>
              <w:numPr>
                <w:ilvl w:val="0"/>
                <w:numId w:val="40"/>
              </w:numPr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Android 12 lub nowszy lub równoważny system.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Przez system równoważny do Android (w wersji minimum 12) Zamawiający rozumie system spełniający następujące wymagania funkcjonalne: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konieczność zapewnienia funkcjonalności jakie oferuje ten system, a także możliwość instalacji i korzystania dla systemu równoważnego z tych aplikacji, które są dostępne dla wskazanego przez Zamawiającego systemu Android (np. w oficjalnym sklepie „Google Play”), lub aplikacji alternatywnych, zapewniających te same funkcjonalności;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zapewnia wsparcie dla wykorzystywanego przez Zamawiającego oprogramowania, którego uruchamianie nie jest dopuszczalne poprzez mechanizm emulacji lub wirtualizacji, tj.: a) Google Chrome, b) Opera Mobile, c) Symantec Endpoint Protection Mobile, d) Microsoft Lync/Skype for Business, e) Cisco Webex, f) Citrix Workspace.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konieczność spełnienia wymagania: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a) zapewnia wielozadaniowość, wielowątkowość, i możliwość zarządzania pamięcią,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b) umożliwia wykorzystanie trybu uśpienie w ruchu – zużywanie mniej energii,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c) pozwala spersonalizować ustawienia według preferencji użytkownika,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d) możliwość zmiany kolejności kafelków Szybkich ustawień,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e) umożliwia bezpośrednie odpowiedzi na powiadomienia,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f) pozwala na indywidulane ustawienia ograniczenia ilości danych zużywanych przez urządzenie,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g) pozwala personalizować rozmiar wyświetlacza,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h) pobiera aktualizacje w tle bez konieczności wyłączania urządzenia,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i) posiada interfejsy użytkownika dostępne w kilku językach do wyboru – minimum w polskim i angielskim;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 </w:t>
            </w:r>
            <w:r>
              <w:rPr>
                <w:rFonts w:cs="Arial" w:ascii="Arial" w:hAnsi="Arial"/>
              </w:rPr>
              <w:t xml:space="preserve">j) umożliwia nieodpłatne instalowanie dodatkowych języków interfejsu systemu operacyjnego,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k) umożliwia zmiany języka bez konieczności reinstalacji systemu;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w przypadku zaoferowania przez Wykonawcę produktu równoważnego Wykonawca dokona wspólnie z Zamawiającym instalacji i testowania produktu równoważnego w środowisku sprzętowo programowym Zamawiającego;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w przypadku, gdy zaoferowany przez Wykonawcę produkt równoważny nie będzie właściwie współdziałać ze sprzętem i oprogramowaniem funkcjonującym u Zamawiającego lub spowoduje zakłócenia w funkcjonowaniu pracy środowiska sprzętowo-programowego u Zamawiającego, Wykonawca pokryje wszystkie koszty związane z przywróceniem i sprawnym działaniem infrastruktury sprzętowo-programowej Zamawiającego oraz na własny koszt dokona niezbędnych modyfikacji przywracających właściwe działanie środowiska sprzętowo-programowego Zamawiającego również po usunięciu produktu równoważnego;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 xml:space="preserve">oprogramowanie równoważne dostarczane przez Wykonawcę nie może powodować utraty kompatybilności oraz wsparcia producentów innego używanego i współpracującego z nim oprogramowania; </w:t>
            </w:r>
          </w:p>
          <w:p>
            <w:pPr>
              <w:pStyle w:val="Normal"/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• </w:t>
            </w:r>
            <w:r>
              <w:rPr>
                <w:rFonts w:cs="Arial" w:ascii="Arial" w:hAnsi="Arial"/>
              </w:rPr>
              <w:t>w przypadku zaoferowania przez Wykonawcę oprogramowania równoważnego Wykonawca dokona transferu wiedzy w zakresie utrzymania i rozwoju rozwiązania opartego o zaproponowane produkty,</w:t>
            </w:r>
          </w:p>
          <w:p>
            <w:pPr>
              <w:pStyle w:val="Normal"/>
              <w:numPr>
                <w:ilvl w:val="0"/>
                <w:numId w:val="40"/>
              </w:numPr>
              <w:tabs>
                <w:tab w:val="clear" w:pos="708"/>
                <w:tab w:val="left" w:pos="168" w:leader="none"/>
              </w:tabs>
              <w:suppressAutoHyphens w:val="false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Wsparcie dla aktualizacji systemowych i bezpieczeństwa,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340" w:right="11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40" w:right="113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40" w:right="113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340" w:right="113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6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Dodatkowe wymagania: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Integracja z systemami umożliwiającymi automatyczne zbieranie, wymianę danych oraz komunikację z innymi urządzeniami i systemami przez internet, których celem jest automatyzacja działań, zdalne sterowanie i analiza danych w czasie rzeczywistym,  i urządzeniami rolniczymi,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Kamerki: przednia i tylna minimum 8 MP,</w:t>
            </w:r>
          </w:p>
          <w:p>
            <w:pPr>
              <w:pStyle w:val="Normal"/>
              <w:numPr>
                <w:ilvl w:val="0"/>
                <w:numId w:val="41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Wbudowany akcelerometr i żyroskop,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7</w:t>
            </w:r>
          </w:p>
        </w:tc>
        <w:tc>
          <w:tcPr>
            <w:tcW w:w="716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Przeznaczenie:</w:t>
            </w:r>
            <w:r>
              <w:rPr>
                <w:rFonts w:eastAsia="Times New Roman" w:cs="Arial" w:ascii="Arial" w:hAnsi="Arial"/>
                <w:lang w:eastAsia="pl-PL"/>
              </w:rPr>
              <w:br/>
              <w:t>Tablety będą wykorzystywane do:</w:t>
            </w:r>
          </w:p>
          <w:p>
            <w:pPr>
              <w:pStyle w:val="Normal"/>
              <w:numPr>
                <w:ilvl w:val="0"/>
                <w:numId w:val="4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Zbierania i analizowania danych z pól uprawnych,</w:t>
            </w:r>
          </w:p>
          <w:p>
            <w:pPr>
              <w:pStyle w:val="Normal"/>
              <w:numPr>
                <w:ilvl w:val="0"/>
                <w:numId w:val="4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Integracji z systemami automatycznego sterowania maszyn rolniczych,</w:t>
            </w:r>
          </w:p>
          <w:p>
            <w:pPr>
              <w:pStyle w:val="Normal"/>
              <w:numPr>
                <w:ilvl w:val="0"/>
                <w:numId w:val="4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Wspierania procesów decyzyjnych w gospodarstwach rolnych i projektach Rolnictwa 4.0,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</w:tc>
      </w:tr>
      <w:tr>
        <w:trPr>
          <w:trHeight w:val="528" w:hRule="atLeast"/>
        </w:trPr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8</w:t>
            </w:r>
          </w:p>
        </w:tc>
        <w:tc>
          <w:tcPr>
            <w:tcW w:w="71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Web"/>
              <w:spacing w:lineRule="auto" w:line="360" w:beforeAutospacing="0" w:before="0" w:afterAutospacing="0" w:after="0"/>
              <w:rPr>
                <w:rFonts w:ascii="Arial" w:hAnsi="Arial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  <w:t>Wymagania dotyczące dostawy: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Tablety dostarczone w pełni skonfigurowane i gotowe do użycia,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Instrukcja obsługi w języku polskim,</w:t>
            </w:r>
          </w:p>
          <w:p>
            <w:pPr>
              <w:pStyle w:val="Normal"/>
              <w:numPr>
                <w:ilvl w:val="0"/>
                <w:numId w:val="32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Wsparcie techniczne producenta lub autoryzowanego serwisu,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lineRule="auto" w:line="360" w:beforeAutospacing="0" w:before="0" w:afterAutospacing="0"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Web"/>
              <w:spacing w:lineRule="auto" w:line="360" w:beforeAutospacing="0" w:before="0" w:afterAutospacing="0"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</w:r>
          </w:p>
          <w:p>
            <w:pPr>
              <w:pStyle w:val="NormalWeb"/>
              <w:spacing w:lineRule="auto" w:line="360" w:beforeAutospacing="0" w:before="0" w:afterAutospacing="0"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</w:rPr>
              <w:t>TAK/NIE*</w:t>
            </w:r>
          </w:p>
        </w:tc>
        <w:tc>
          <w:tcPr>
            <w:tcW w:w="32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Web"/>
              <w:spacing w:lineRule="auto" w:line="360" w:beforeAutospacing="0" w:before="0" w:afterAutospacing="0"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cs="Arial" w:ascii="Arial" w:hAnsi="Arial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rFonts w:ascii="Arial" w:hAnsi="Arial" w:cs="Arial"/>
          <w:b/>
          <w:bCs/>
          <w:shd w:fill="FFFF00" w:val="clear"/>
          <w:lang w:bidi="pl-PL"/>
        </w:rPr>
      </w:pPr>
      <w:r>
        <w:rPr>
          <w:rFonts w:cs="Arial" w:ascii="Arial" w:hAnsi="Arial"/>
          <w:b/>
          <w:bCs/>
          <w:shd w:fill="FFFF00" w:val="clear"/>
          <w:lang w:bidi="pl-PL"/>
        </w:rPr>
      </w:r>
    </w:p>
    <w:p>
      <w:pPr>
        <w:pStyle w:val="Normal"/>
        <w:spacing w:lineRule="auto" w:line="360" w:before="0" w:after="0"/>
        <w:rPr>
          <w:rFonts w:ascii="Arial" w:hAnsi="Arial" w:eastAsia="Arial"/>
          <w:b/>
          <w:bCs/>
        </w:rPr>
      </w:pPr>
      <w:r>
        <w:rPr>
          <w:rFonts w:eastAsia="Arial" w:ascii="Arial" w:hAnsi="Arial"/>
          <w:b/>
          <w:bCs/>
        </w:rPr>
        <w:t xml:space="preserve">6) laptop z pamięcią RAM 16-32 GB – 3 szt. 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b/>
          <w:bCs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3887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844"/>
        <w:gridCol w:w="2126"/>
        <w:gridCol w:w="5105"/>
        <w:gridCol w:w="2551"/>
        <w:gridCol w:w="3261"/>
      </w:tblGrid>
      <w:tr>
        <w:trPr>
          <w:trHeight w:val="528" w:hRule="atLeast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eksploatacyjne, wdrożeniowe, konfiguracyjne wymagane przez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Procesor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Czterordzeniowy, 16 wątków, podstawowa częstotliwość procesora 3,6 GHz zapewniający wysoką wydajność w pracy kreatywnej i wielozadaniowości,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Pamięć RAM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Minimum 16 GB, możliwość rozszerzenia do 32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Dysk twardy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SSD minimum 512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Ekran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Matowy, 14–15,6 cala, Full HD (1920x1080) lub wyższa rozdzielczość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Karta graficzna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Zintegrowana lub dedykowana, umożliwiająca obsługę oprogramowania GIS/CAD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Łączność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Wi-Fi 6, Bluetooth 5.0 lub nowszy, porty USB-C, USB 3.0/3.1, HDMI, czytnik kart 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operacyjny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Windows 11 Pro lub równoważny kompatybilny z oprogramowaniem rolniczym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Równoważność dla Systemu operacyjnego Microsoft Windows 11 Pro: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Za rozwiązanie równoważne uznaje się takie, które posiada wbudowane mechanizmy, bez użycia dodatkowych aplikacji (bez jakichkolwiek emulatorów, implementacji lub programów towarzyszących).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System operacyjny klasy PC musi spełniać następujące wymagania poprzez natywne dla niego mechanizmy, bez użycia dodatkowych aplikacji: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1. System operacyjny dla komputerów osobistych z graficznym interfejsem użytkownika.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2. Możliwość instalacji i poprawnego działania oprogramowania dostępnego w ramach posiadanych przez Zamawiającego licencji.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3. Możliwość instalacji i poprawnej obsługi powszechnie używanych urządzeń peryferyjnych (drukarek, urządzeń sieciowych, standardów USB, Plug&amp;Play, Wi-Fi).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4. Dostępność aktualizacji i poprawek do systemu u producenta systemu bezpłatnie i bez dodatkowych opłat licencyjnych z możliwością wyboru instalowanych poprawek.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5. Graficzne środowisko instalacji i konfiguracji w języku polskim.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6. Wbudowany mechanizm szyfrowania danych (dyski wewnętrzne oraz urządzenia USB).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7. Zapewnienie pełnej kompatybilności z oferowanym sprzętem.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8. Możliwość uruchamiania aplikacji w trybie zgodności (dla starszego oprogramowania).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9. Wsparcie dla kontenerów i maszyn wirtualnych (Hyper-V lub równoważne).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10. Obsługa synchronizacji z kontem Microsoft lub inną usługą katalogową.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11. Integracja z platformami do przechowywania danych w chmurze (OneDrive, Google Drive, Dropbox itp.).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12. Wbudowana zapora internetowa (firewall) zintegrowana z systemem.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13. Zintegrowane z systemem operacyjnym narzędzia zwalczające złośliwe oprogramowanie, aktualizacja dostępna u producenta nieodpłatnie bez ograniczeń czasowych.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14. Oprogramowanie powinno posiadać certyfikat autentyczności lub unikalny kod aktywacyjny.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15. Zamawiający nie dopuszcza w systemie możliwości instalacji dodatkowych narzędzi emulujących działanie systemów.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16. Wbudowany system pomocy w języku polskim.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17. Funkcjonalność automatycznej zmiany domyślnej drukarki w zależności od sieci, do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której podłączony jest komputer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18. Zintegrowany z systemem moduł wyszukiwania informacji (plików różnego typu, tekstów, metadanych)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19. Możliwość przystosowania stanowiska dla osób niepełnosprawnych.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20. Możliwość zarządzania stacją roboczą poprzez polityki – przez politykę rozumiemy zestaw reguł definiujących lub ograniczających funkcjonalność systemu lub aplikacji.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21. Możliwość zdalnej automatycznej instalacji, konfiguracji, administrowania oraz aktualizowania systemu.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22. Zabezpieczony hasłem hierarchiczny dostęp do systemu, konta i profile użytkowników zarządzane zdalnie; praca systemu w trybie ochrony kont użytkowników.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23. Wsparcie dla Java i .NET Framework 2.0 i 3.0 – możliwość uruchomienia aplikacji działających we wskazanych środowiskach;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24. Pełna kompatybilność z oprogramowaniem MS Office.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25. Możliwość wyboru języka polskiego i angielskiego.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26. W przypadku zaproponowanie równoważnego systemu wymagane jest przeprowadzenie autoryzowanego szkolenia z zakresu obsługi systemu dla pracowników oraz administracji systemem dla administratorów, dostosowanie do pracy w środowisku szkoły oraz świadczenie wsparcia w okresie gwarancji.</w:t>
            </w:r>
          </w:p>
          <w:p>
            <w:pPr>
              <w:pStyle w:val="Normal"/>
              <w:spacing w:lineRule="auto" w:line="360" w:before="0" w:after="0"/>
              <w:rPr>
                <w:b/>
                <w:bCs/>
                <w:color w:val="FF0000"/>
                <w:shd w:fill="FFFF00" w:val="clear"/>
              </w:rPr>
            </w:pPr>
            <w:r>
              <w:rPr>
                <w:b/>
                <w:bCs/>
                <w:color w:val="FF0000"/>
                <w:shd w:fill="FFFF00" w:val="clear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Bateria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Minimum 6 godzin pracy w terenie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Waga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Maksymalnie 2,0 kg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Odporność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Odporność na wstrząsy i pył (MIL-STD-810G lub równoważny)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Funkcja i przeznaczenie</w:t>
            </w:r>
          </w:p>
        </w:tc>
        <w:tc>
          <w:tcPr>
            <w:tcW w:w="5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monitorowanie i analizowanie danych z czujników rolniczych, dronów i maszyn rolniczych,</w:t>
            </w:r>
          </w:p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zarządzania inteligentnymi gospodarstwami,</w:t>
            </w:r>
          </w:p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pracy w biurze i terenie w ramach projektów Rolnictwo 4.0,</w:t>
            </w:r>
          </w:p>
          <w:p>
            <w:pPr>
              <w:pStyle w:val="Normal"/>
              <w:numPr>
                <w:ilvl w:val="0"/>
                <w:numId w:val="33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wsparcia działań badawczo-rozwojowych,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dodatkowe</w:t>
            </w:r>
          </w:p>
        </w:tc>
        <w:tc>
          <w:tcPr>
            <w:tcW w:w="5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Podświetlana klawiatura, przydatna do pracy w słabym oświetleniu,</w:t>
            </w:r>
          </w:p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Czytnik linii papilarnych lub inne funkcje zabezpieczeń biometrycznych,</w:t>
            </w:r>
          </w:p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Dodatkowe porty i złącza usprawniające integrację z urządzeniami rolniczymi,</w:t>
            </w:r>
          </w:p>
          <w:p>
            <w:pPr>
              <w:pStyle w:val="Normal"/>
              <w:numPr>
                <w:ilvl w:val="0"/>
                <w:numId w:val="34"/>
              </w:numPr>
              <w:suppressAutoHyphens w:val="false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  <w:t>Wsparcie techniczne w zakresie oprogramowania fabrycznego,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</w:tbl>
    <w:p>
      <w:pPr>
        <w:pStyle w:val="Normal"/>
        <w:suppressAutoHyphens w:val="false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lang w:eastAsia="pl-PL"/>
        </w:rPr>
      </w:r>
    </w:p>
    <w:p>
      <w:pPr>
        <w:pStyle w:val="ListParagraph"/>
        <w:numPr>
          <w:ilvl w:val="0"/>
          <w:numId w:val="23"/>
        </w:numPr>
        <w:spacing w:lineRule="auto" w:line="360" w:before="0" w:after="0"/>
        <w:contextualSpacing/>
        <w:rPr>
          <w:rFonts w:ascii="Arial" w:hAnsi="Arial" w:eastAsia="Times New Roman" w:cs="Arial"/>
          <w:lang w:eastAsia="pl-PL"/>
        </w:rPr>
      </w:pPr>
      <w:r>
        <w:rPr>
          <w:rFonts w:eastAsia="Arial" w:ascii="Arial" w:hAnsi="Arial"/>
          <w:b/>
          <w:bCs/>
        </w:rPr>
        <w:t xml:space="preserve">smartfon z pamięcią RAM 8-12 GB – 2 szt. </w:t>
      </w:r>
      <w:r>
        <w:rPr>
          <w:rFonts w:eastAsia="Times New Roman" w:cs="Arial" w:ascii="Arial" w:hAnsi="Arial"/>
          <w:lang w:eastAsia="pl-PL"/>
        </w:rPr>
        <w:t>umożliwiających integrację z systemami monitoringu, sensorami oraz aplikacjami rolniczymi:</w:t>
      </w:r>
    </w:p>
    <w:p>
      <w:pPr>
        <w:pStyle w:val="Normal"/>
        <w:spacing w:lineRule="auto" w:line="360" w:before="0" w:after="0"/>
        <w:ind w:left="360"/>
        <w:rPr>
          <w:rFonts w:ascii="Arial" w:hAnsi="Arial" w:eastAsia="Times New Roman" w:cs="Arial"/>
          <w:sz w:val="16"/>
          <w:szCs w:val="16"/>
          <w:lang w:eastAsia="pl-PL"/>
        </w:rPr>
      </w:pPr>
      <w:r>
        <w:rPr>
          <w:rFonts w:eastAsia="Times New Roman" w:cs="Arial" w:ascii="Arial" w:hAnsi="Arial"/>
          <w:sz w:val="16"/>
          <w:szCs w:val="16"/>
          <w:lang w:eastAsia="pl-PL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MARKA:</w:t>
      </w:r>
      <w:r>
        <w:rPr>
          <w:rFonts w:eastAsia="Times New Roman" w:cs="Arial" w:ascii="Arial" w:hAnsi="Arial"/>
          <w:lang w:eastAsia="pl-PL"/>
        </w:rPr>
        <w:t xml:space="preserve"> …………………………………………………… </w:t>
      </w:r>
      <w:r>
        <w:rPr>
          <w:rFonts w:eastAsia="Times New Roman" w:cs="Arial" w:ascii="Arial" w:hAnsi="Arial"/>
          <w:b/>
          <w:bCs/>
          <w:lang w:eastAsia="pl-PL"/>
        </w:rPr>
        <w:t xml:space="preserve">MODEL </w:t>
      </w:r>
      <w:r>
        <w:rPr>
          <w:rFonts w:eastAsia="Times New Roman" w:cs="Arial" w:ascii="Arial" w:hAnsi="Arial"/>
          <w:lang w:eastAsia="pl-PL"/>
        </w:rPr>
        <w:t>: ……………………………………..</w:t>
      </w:r>
    </w:p>
    <w:p>
      <w:pPr>
        <w:pStyle w:val="Normal"/>
        <w:tabs>
          <w:tab w:val="clear" w:pos="708"/>
          <w:tab w:val="left" w:pos="284" w:leader="none"/>
        </w:tabs>
        <w:spacing w:lineRule="auto" w:line="360" w:before="0" w:after="0"/>
        <w:jc w:val="both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PRODUCENT</w:t>
      </w:r>
      <w:r>
        <w:rPr>
          <w:rFonts w:eastAsia="Times New Roman" w:cs="Arial" w:ascii="Arial" w:hAnsi="Arial"/>
          <w:lang w:eastAsia="pl-PL"/>
        </w:rPr>
        <w:t xml:space="preserve"> : ……………………………………………………………………………………………….</w:t>
      </w:r>
    </w:p>
    <w:p>
      <w:pPr>
        <w:pStyle w:val="Normal"/>
        <w:spacing w:lineRule="auto" w:line="360" w:before="0" w:after="0"/>
        <w:rPr>
          <w:rFonts w:ascii="Arial" w:hAnsi="Arial" w:eastAsia="Times New Roman" w:cs="Arial"/>
          <w:lang w:eastAsia="pl-PL"/>
        </w:rPr>
      </w:pPr>
      <w:r>
        <w:rPr>
          <w:rFonts w:eastAsia="Times New Roman" w:cs="Arial" w:ascii="Arial" w:hAnsi="Arial"/>
          <w:b/>
          <w:bCs/>
          <w:lang w:eastAsia="pl-PL"/>
        </w:rPr>
        <w:t>Stan fabrycznie nowy rok produkcji:</w:t>
      </w:r>
      <w:r>
        <w:rPr>
          <w:rFonts w:eastAsia="Times New Roman" w:cs="Arial" w:ascii="Arial" w:hAnsi="Arial"/>
          <w:bCs/>
          <w:lang w:eastAsia="pl-PL"/>
        </w:rPr>
        <w:t xml:space="preserve"> ……………………………………………………………..…….     </w:t>
      </w:r>
    </w:p>
    <w:tbl>
      <w:tblPr>
        <w:tblW w:w="13887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844"/>
        <w:gridCol w:w="2694"/>
        <w:gridCol w:w="4537"/>
        <w:gridCol w:w="2551"/>
        <w:gridCol w:w="3261"/>
      </w:tblGrid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72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Minimalne parametry techniczne, eksploatacyjne, wdrożeniowe, konfiguracyjne wymagane przez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Potwierdzenie spełnienia wymagań wskazanych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w kolumnie 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* Niepotrzebne skreślić</w:t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/>
                <w:b/>
                <w:bCs/>
                <w:color w:val="000000"/>
                <w:lang w:eastAsia="pl-PL"/>
              </w:rPr>
              <w:t>(TAK / NIE)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eastAsia="Times New Roman" w:cs="Arial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color w:val="000000"/>
                <w:lang w:eastAsia="pl-PL"/>
              </w:rPr>
              <w:t>Uzupełnić opis oferowanych parametrów, określając wartości oferowanego parametru lub elementu zamówienia lub inne uwagi</w:t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b/>
                <w:bCs/>
              </w:rPr>
            </w:pPr>
            <w:r>
              <w:rPr>
                <w:rFonts w:cs="Arial" w:ascii="Arial" w:hAnsi="Arial"/>
                <w:b/>
                <w:bCs/>
              </w:rPr>
              <w:t>Pamięć RAM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18 GB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Pamięć wewnętrzna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128 GB z możliwością rozszerzenia kartą pamięci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System operacyjny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Android / iOS najnowszej </w:t>
            </w:r>
            <w:r>
              <w:rPr>
                <w:rFonts w:cs="Arial" w:ascii="Arial" w:hAnsi="Arial"/>
              </w:rPr>
              <w:t>wersji lub równoważny spełniający poniższe wymagania: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Wymagania funkcjonalne dla systemu równoważnego (Android/iOS):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Aktualność: Zainstalowany fabrycznie najnowszy, stabilny system operacyjny wspierany przez producenta z gwarancją aktualizacji zabezpieczeń przez okres gwarancji.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Ekosystem aplikacji: Dostęp do dedykowanego sklepu (sklep producenta) z możliwością instalowania aplikacji darmowych i płatnych, w tym wsparcie dla aplikacji biznesowych (bankowość, komunikatory, Teams, Classroom.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Bezpieczeństwo i Zarządzanie: Wbudowany menedżer plików, wsparcie dla szyfrowania danych, możliwość pracy w kontenerach bezpieczeństwa oraz pełna obsługa systemów MDM (Mobile Device Management).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 xml:space="preserve">Użyteczność: Funkcja wielozadaniowości, możliwość tworzenia profili użytkownika (praca/prywatne), obsługa usług w chmurze. 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color w:val="FF0000"/>
              </w:rPr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Wyświetlacz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min. 6,0 cala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Łączność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4G / 5G, Wi-Fi, Bluetooth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6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Bateria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min. 4000 mAh ,</w:t>
            </w:r>
            <w:r>
              <w:rPr>
                <w:rFonts w:cs="Arial" w:ascii="Arial" w:hAnsi="Arial"/>
              </w:rPr>
              <w:t xml:space="preserve"> możliwość pracy cały dzień w terenie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7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Odporność i wytrzymałość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odporność na kurz i wilgoć (IP68), </w:t>
            </w:r>
            <w:r>
              <w:rPr>
                <w:rFonts w:cs="Arial" w:ascii="Arial" w:hAnsi="Arial"/>
              </w:rPr>
              <w:t>odporność na upadki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Dodatkowe funkcje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 xml:space="preserve">możliwość integracji z urządzeniami  i z </w:t>
            </w:r>
            <w:r>
              <w:rPr>
                <w:rFonts w:cs="Arial" w:ascii="Arial" w:hAnsi="Arial"/>
              </w:rPr>
              <w:t>systemami umożliwiającymi automatyczne zbieranie, wymianę danych oraz komunikację z innymi urządzeniami i systemami przez</w:t>
            </w:r>
          </w:p>
          <w:p>
            <w:pPr>
              <w:pStyle w:val="Normal"/>
              <w:spacing w:lineRule="auto" w:line="360" w:before="0" w:after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Internet, których celem jest automatyzacja działań, zdalne sterowanie i analiza danych w czasie rzeczywistym</w:t>
            </w:r>
            <w:r>
              <w:rPr/>
              <w:t xml:space="preserve">,  </w:t>
            </w:r>
            <w:r>
              <w:rPr>
                <w:rFonts w:eastAsia="Times New Roman" w:cs="Arial" w:ascii="Arial" w:hAnsi="Arial"/>
                <w:lang w:eastAsia="pl-PL"/>
              </w:rPr>
              <w:t>kompatybilność z aplikacjami Rolnictwa 4.0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9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0"/>
              </w:numPr>
              <w:spacing w:lineRule="auto" w:line="360" w:before="0" w:after="0"/>
              <w:outlineLvl w:val="2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Funkcja i przeznaczenie urządzeń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monitorowanie i zarządzania procesami produkcji rolnej,</w:t>
            </w:r>
          </w:p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zbierania danych z czujników i sensorów,</w:t>
            </w:r>
          </w:p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lang w:eastAsia="pl-PL"/>
              </w:rPr>
              <w:t>obsługi aplikacji Rolnictwa 4.0,</w:t>
            </w:r>
          </w:p>
          <w:p>
            <w:pPr>
              <w:pStyle w:val="Normal"/>
              <w:numPr>
                <w:ilvl w:val="0"/>
                <w:numId w:val="35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komunikacji w terenie w trudnych warunkach środowiskowych.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36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6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6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ind w:left="360"/>
              <w:jc w:val="center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 w:eastAsia="Times New Roman" w:cs="Arial"/>
                <w:lang w:eastAsia="pl-PL"/>
              </w:rPr>
            </w:pPr>
            <w:r>
              <w:rPr>
                <w:rFonts w:eastAsia="Times New Roman" w:cs="Arial" w:ascii="Arial" w:hAnsi="Arial"/>
                <w:lang w:eastAsia="pl-PL"/>
              </w:rPr>
            </w:r>
          </w:p>
        </w:tc>
      </w:tr>
      <w:tr>
        <w:trPr/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jc w:val="center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10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360" w:before="0" w:after="0"/>
              <w:rPr>
                <w:rFonts w:ascii="Arial" w:hAnsi="Arial" w:eastAsia="Times New Roman" w:cs="Arial"/>
                <w:b/>
                <w:bCs/>
                <w:lang w:eastAsia="pl-P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Wymagania dodatkowe</w:t>
            </w:r>
          </w:p>
        </w:tc>
        <w:tc>
          <w:tcPr>
            <w:tcW w:w="4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36"/>
              </w:numPr>
              <w:suppressAutoHyphens w:val="false"/>
              <w:spacing w:lineRule="auto" w:line="360" w:before="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Szkolenie z obsługi podstawowej  urządzeń.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  <w:p>
            <w:pPr>
              <w:pStyle w:val="Normal"/>
              <w:suppressAutoHyphens w:val="false"/>
              <w:spacing w:lineRule="auto" w:line="360" w:before="0" w:after="0"/>
              <w:jc w:val="center"/>
              <w:rPr>
                <w:rFonts w:ascii="Arial" w:hAnsi="Arial"/>
              </w:rPr>
            </w:pPr>
            <w:r>
              <w:rPr>
                <w:rFonts w:eastAsia="Times New Roman" w:cs="Arial" w:ascii="Arial" w:hAnsi="Arial"/>
                <w:b/>
                <w:bCs/>
                <w:lang w:eastAsia="pl-PL"/>
              </w:rPr>
              <w:t>TAK/NIE*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false"/>
              <w:spacing w:lineRule="auto" w:line="360" w:before="0" w:after="0"/>
              <w:ind w:left="720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spacing w:lineRule="atLeast" w:line="300" w:before="0" w:after="0"/>
        <w:jc w:val="both"/>
        <w:rPr>
          <w:rFonts w:ascii="Arial" w:hAnsi="Arial" w:cs="Arial"/>
          <w:b/>
          <w:shd w:fill="FFFF00" w:val="clear"/>
        </w:rPr>
      </w:pPr>
      <w:r>
        <w:rPr>
          <w:rFonts w:cs="Arial" w:ascii="Arial" w:hAnsi="Arial"/>
          <w:b/>
          <w:shd w:fill="FFFF00" w:val="clear"/>
        </w:rPr>
      </w:r>
    </w:p>
    <w:p>
      <w:pPr>
        <w:pStyle w:val="Normal"/>
        <w:spacing w:lineRule="atLeast" w:line="300" w:before="0" w:after="0"/>
        <w:jc w:val="both"/>
        <w:rPr>
          <w:shd w:fill="FFFF00" w:val="clear"/>
        </w:rPr>
      </w:pPr>
      <w:r>
        <w:rPr>
          <w:rFonts w:cs="Arial" w:ascii="Arial" w:hAnsi="Arial"/>
          <w:b/>
          <w:shd w:fill="FFFF00" w:val="clear"/>
        </w:rPr>
        <w:t xml:space="preserve">Do oferty załączam </w:t>
      </w:r>
      <w:r>
        <w:rPr>
          <w:rFonts w:cs="Arial" w:ascii="Arial" w:hAnsi="Arial"/>
          <w:b/>
          <w:shd w:fill="FFFF00" w:val="clear"/>
          <w:lang w:bidi="pl-PL"/>
        </w:rPr>
        <w:t>specyfikację techniczną maszyn i urządzeń lub karty katalogowe potwierdzające spełnianie wszystkich wymagań opisanych w Załączniku nr 1 do SWZ:</w:t>
      </w:r>
    </w:p>
    <w:p>
      <w:pPr>
        <w:pStyle w:val="Normal"/>
        <w:spacing w:lineRule="atLeast" w:line="300" w:before="0" w:after="0"/>
        <w:jc w:val="both"/>
        <w:rPr>
          <w:rFonts w:ascii="Arial" w:hAnsi="Arial" w:cs="Arial"/>
          <w:lang w:bidi="pl-PL"/>
        </w:rPr>
      </w:pPr>
      <w:r>
        <w:rPr>
          <w:rFonts w:cs="Arial" w:ascii="Arial" w:hAnsi="Arial"/>
          <w:lang w:bidi="pl-PL"/>
        </w:rPr>
        <w:t>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lineRule="atLeast" w:line="300" w:before="0" w:after="0"/>
        <w:jc w:val="both"/>
        <w:rPr>
          <w:rFonts w:ascii="Arial" w:hAnsi="Arial" w:cs="Arial"/>
          <w:lang w:bidi="pl-PL"/>
        </w:rPr>
      </w:pPr>
      <w:r>
        <w:rPr>
          <w:rFonts w:cs="Arial" w:ascii="Arial" w:hAnsi="Arial"/>
          <w:lang w:bidi="pl-PL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lang w:bidi="pl-PL"/>
        </w:rPr>
        <w:t>.</w:t>
      </w:r>
    </w:p>
    <w:p>
      <w:pPr>
        <w:pStyle w:val="Normal"/>
        <w:spacing w:lineRule="atLeast" w:line="300" w:before="0" w:after="0"/>
        <w:rPr/>
      </w:pPr>
      <w:r>
        <w:rPr/>
        <w:t xml:space="preserve">Data:………………………………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Arial" w:ascii="Arial" w:hAnsi="Arial"/>
          <w:color w:val="000000"/>
        </w:rPr>
        <w:t xml:space="preserve">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</w:p>
    <w:p>
      <w:pPr>
        <w:pStyle w:val="ListParagraph"/>
        <w:spacing w:lineRule="auto" w:line="240" w:before="0" w:after="0"/>
        <w:contextualSpacing/>
        <w:rPr>
          <w:rFonts w:ascii="Arial" w:hAnsi="Arial" w:cs="Arial"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……………………………………</w:t>
      </w:r>
      <w:r>
        <w:rPr>
          <w:rFonts w:cs="Arial" w:ascii="Arial" w:hAnsi="Arial"/>
          <w:color w:val="000000"/>
          <w:sz w:val="16"/>
          <w:szCs w:val="16"/>
        </w:rPr>
        <w:t xml:space="preserve">.………………………….. 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cs="Arial" w:ascii="Arial" w:hAnsi="Arial"/>
          <w:color w:val="000000"/>
          <w:sz w:val="16"/>
          <w:szCs w:val="16"/>
        </w:rPr>
        <w:t xml:space="preserve">Wykonawca lub upełnomocniony przedstawiciel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Arial" w:ascii="Arial" w:hAnsi="Arial"/>
          <w:b/>
          <w:bCs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r>
        <w:rPr>
          <w:rFonts w:cs="Arial" w:ascii="Arial" w:hAnsi="Arial"/>
          <w:b/>
          <w:bCs/>
          <w:color w:val="000000"/>
          <w:sz w:val="16"/>
          <w:szCs w:val="16"/>
        </w:rPr>
        <w:t>Kwalifikowany podpis elektroniczny</w:t>
      </w:r>
    </w:p>
    <w:sectPr>
      <w:headerReference w:type="default" r:id="rId2"/>
      <w:type w:val="nextPage"/>
      <w:pgSz w:orient="landscape" w:w="16838" w:h="11906"/>
      <w:pgMar w:left="1417" w:right="1417" w:gutter="0" w:header="0" w:top="57" w:footer="0" w:bottom="709"/>
      <w:pgNumType w:fmt="decimal"/>
      <w:formProt w:val="false"/>
      <w:textDirection w:val="lrTb"/>
      <w:docGrid w:type="default" w:linePitch="360" w:charSpace="2048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jc w:val="center"/>
      <w:rPr/>
    </w:pPr>
    <w:r>
      <w:rPr/>
      <w:drawing>
        <wp:inline distT="0" distB="0" distL="0" distR="0">
          <wp:extent cx="5547360" cy="655320"/>
          <wp:effectExtent l="0" t="0" r="0" b="0"/>
          <wp:docPr id="1" name="Obraz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7360" cy="65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4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5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6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1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8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9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3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9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7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9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0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4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204592"/>
    <w:rPr>
      <w:rFonts w:ascii="Tahoma" w:hAnsi="Tahoma" w:cs="Tahoma"/>
      <w:sz w:val="16"/>
      <w:szCs w:val="16"/>
    </w:rPr>
  </w:style>
  <w:style w:type="character" w:styleId="Annotationreference">
    <w:name w:val="annotation reference"/>
    <w:semiHidden/>
    <w:qFormat/>
    <w:rsid w:val="00d555bf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d555bf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591ad2"/>
    <w:rPr/>
  </w:style>
  <w:style w:type="character" w:styleId="StopkaZnak" w:customStyle="1">
    <w:name w:val="Stopka Znak"/>
    <w:basedOn w:val="DefaultParagraphFont"/>
    <w:uiPriority w:val="99"/>
    <w:qFormat/>
    <w:rsid w:val="00591ad2"/>
    <w:rPr/>
  </w:style>
  <w:style w:type="character" w:styleId="AkapitzlistZnak" w:customStyle="1">
    <w:name w:val="Akapit z listą Znak"/>
    <w:link w:val="ListParagraph"/>
    <w:uiPriority w:val="34"/>
    <w:qFormat/>
    <w:rsid w:val="0064564f"/>
    <w:rPr/>
  </w:style>
  <w:style w:type="character" w:styleId="Strong">
    <w:name w:val="Strong"/>
    <w:uiPriority w:val="22"/>
    <w:qFormat/>
    <w:rPr>
      <w:b/>
      <w:b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numeracji" w:customStyle="1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591ad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045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AkapitzlistZnak"/>
    <w:uiPriority w:val="34"/>
    <w:qFormat/>
    <w:rsid w:val="00c06dd6"/>
    <w:pPr>
      <w:spacing w:before="0" w:after="200"/>
      <w:ind w:left="720"/>
      <w:contextualSpacing/>
    </w:pPr>
    <w:rPr/>
  </w:style>
  <w:style w:type="paragraph" w:styleId="Annotationtext">
    <w:name w:val="annotation text"/>
    <w:basedOn w:val="Normal"/>
    <w:link w:val="TekstkomentarzaZnak"/>
    <w:semiHidden/>
    <w:qFormat/>
    <w:rsid w:val="00d555bf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er">
    <w:name w:val="Footer"/>
    <w:basedOn w:val="Normal"/>
    <w:link w:val="StopkaZnak"/>
    <w:uiPriority w:val="99"/>
    <w:unhideWhenUsed/>
    <w:rsid w:val="00591ad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34666f"/>
    <w:pPr>
      <w:widowControl/>
      <w:suppressAutoHyphens w:val="fals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Akapitzlist1" w:customStyle="1">
    <w:name w:val="Akapit z listą1"/>
    <w:basedOn w:val="Normal"/>
    <w:qFormat/>
    <w:pPr>
      <w:spacing w:before="0" w:after="200"/>
      <w:ind w:left="720"/>
      <w:contextualSpacing/>
    </w:pPr>
    <w:rPr>
      <w:rFonts w:ascii="Calibri" w:hAnsi="Calibri"/>
    </w:rPr>
  </w:style>
  <w:style w:type="paragraph" w:styleId="NormalWeb">
    <w:name w:val="Normal (Web)"/>
    <w:basedOn w:val="Normal"/>
    <w:uiPriority w:val="99"/>
    <w:unhideWhenUsed/>
    <w:qFormat/>
    <w:rsid w:val="008f6465"/>
    <w:pPr>
      <w:suppressAutoHyphens w:val="false"/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673d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F0242-EC6B-41FB-AF08-B314B9A6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LibreOffice/7.6.4.1$Windows_X86_64 LibreOffice_project/e19e193f88cd6c0525a17fb7a176ed8e6a3e2aa1</Application>
  <AppVersion>15.0000</AppVersion>
  <Pages>23</Pages>
  <Words>3257</Words>
  <Characters>22977</Characters>
  <CharactersWithSpaces>26776</CharactersWithSpaces>
  <Paragraphs>539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2026-02-06T13:00:00Z</dcterms:created>
  <dc:creator>Elżbieta Kościelska</dc:creator>
  <dc:description/>
  <dc:language>pl-PL</dc:language>
  <cp:lastModifiedBy/>
  <cp:lastPrinted>2026-02-06T12:59:00Z</cp:lastPrinted>
  <dcterms:modified xsi:type="dcterms:W3CDTF">2026-02-08T14:23:04Z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